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153</w:t>
      </w:r>
    </w:p>
    <w:p>
      <w:r>
        <w:t>Bundesgericht (BGE), 2015-06-09, DE</w:t>
      </w:r>
    </w:p>
    <w:p>
      <w:r>
        <w:rPr>
          <w:b/>
        </w:rPr>
        <w:t xml:space="preserve">Quelle: </w:t>
      </w:r>
      <w:r>
        <w:t>https://mcp.opencaselaw.ch/entscheid/bge_142 IV 153</w:t>
      </w:r>
    </w:p>
    <w:p>
      <w:r>
        <w:t>FR: ATF 142 IV 153</w:t>
      </w:r>
    </w:p>
    <w:p>
      <w:r>
        <w:t>IT: DTF 142 IV 153</w:t>
      </w:r>
    </w:p>
    <w:p>
      <w:pPr>
        <w:pStyle w:val="Heading2"/>
      </w:pPr>
      <w:r>
        <w:t>Regeste</w:t>
      </w:r>
    </w:p>
    <w:p>
      <w:r>
        <w:t>Regeste Art. 146 StGB; Betrug. Unter dem Gesichtspunkt der Arglist respektive der Opfermitverantwortung missachtet derjenige grundlegendste Vorsichtsmassnahmen und verhält sich leichtfertig, der bei einem Kauf über das Internet ein Produkt mit einem hohen Warenwert auf Rechnung an eine unbekannte Privatperson liefert, ohne deren Bonität zumindest rudimentär zu prüfen. Bei der Bestellung eines leistungsstarken Druckers durch eine Privatperson für rund Fr. 2'200.- kann nicht von einem Alltagsgeschäft gesprochen werden. Arglistige Täuschung des weder erfüllungswilligen noch erfüllungsfähigen Bestellers vorliegend verneint (E. 2.2.4).</w:t>
      </w:r>
    </w:p>
    <w:p>
      <w:pPr>
        <w:pStyle w:val="Heading2"/>
      </w:pPr>
      <w:r>
        <w:t>Erwägungen</w:t>
      </w:r>
    </w:p>
    <w:p>
      <w:r>
        <w:rPr>
          <w:b/>
        </w:rPr>
        <w:t>E. 2</w:t>
      </w:r>
    </w:p>
    <w:p>
      <w:r>
        <w:t>Der Beschwerdeführer wendet sich gegen die Verurteilung wegen Betrugs.</w:t>
      </w:r>
    </w:p>
    <w:p>
      <w:r>
        <w:rPr>
          <w:b/>
        </w:rPr>
        <w:t>E. 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2.2.1</w:t>
      </w:r>
    </w:p>
    <w:p>
      <w:r>
        <w:t>Der Beschwerdeführer macht geltend, sein Verhalten sei nicht arglistig gewesen.</w:t>
      </w:r>
    </w:p>
    <w:p>
      <w:r>
        <w:rPr>
          <w:b/>
        </w:rPr>
        <w:t>E. 2.2.2</w:t>
      </w:r>
    </w:p>
    <w:p>
      <w:r>
        <w:t>Arglist ist nach ständiger Rechtsprechung gegeben, wenn der Täter ein ganzes Lügengebäude errichtet oder sich besonderer Machenschaften oder Kniffe bedient. Bei einfachen falschen Angaben ist das Merkmal erfüllt, wenn deren Überprüfung nicht oder nur mit BGE 142 IV 153 S. 155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135 IV 76 E. 5.2 S. 81 f. mit Hinweisen). 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S. 80 f. mit zahlreichen Hinweisen). Nach der Rechtsprechung ist die Vorspiegelung des Leistungswillens grundsätzlich arglistig im Sinne von Art. 146 StGB , weil sie eine innere Tatsache betrifft, die vom Vertragspartner ihrem Wesen nach nicht direkt überprüft werden kann ( BGE 118 IV 359 E. 2 S. 361 mit Hinweisen).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Mit einer engen Auslegung des Betrugstatbestands würden die sozialadäquate Geschäftsausübung und damit der Regelfall des Geschäftsalltags betrugsrechtlich nicht BGE 142 IV 153 S. 156 geschützt. Selbst ein erhebliches Mass an Naivität des Geschädigten hat nicht in jedem Fall zur Folge, dass der Täter straflos ausgeht (Urteil 6B_364/2012 vom 19. April 2013 E. 1.1 mit Hinweisen).</w:t>
      </w:r>
    </w:p>
    <w:p>
      <w:r>
        <w:rPr>
          <w:b/>
        </w:rPr>
        <w:t>E. 2.2.3</w:t>
      </w:r>
    </w:p>
    <w:p>
      <w:r>
        <w:t>Die Vorinstanz erwägt, mit der Bestellung des Druckers habe der Beschwerdeführer konkludent erklärt, er sei leistungsfähig und leistungswillig. Insoweit habe er die Verkäuferin getäuscht. Beim Verkauf eines Druckers mit einem Verkaufspreis von rund Fr. 2'200.- per Internet handle es sich um ein Alltagsgeschäft, bei dem es nicht üblich sei, vertiefte Abklärungen über die Bonität eines Kunden zu tätigen, da dies mit einem unverhältnismässigen administrativen Aufwand verbunden wäre, zumal die Margen in dieser Branche gering seien. Es lägen keinerlei konkrete Anhaltspunkte vor, dass die Verkäuferin, abweichend von ihren handelsüblichen Gepflogenheiten, zur Einholung weiterer Auskünfte veranlasst oder verpflichtet gewesen wäre. Auch der Umstand, dass es sich beim bestellten Drucker um ein Mittelklassegerät gehandelt habe, habe keinen Anlass für vertiefte Abklärungen geboten. Die bei der Bestellung angegebene Adresse des Beschwerdeführers sei korrekt gewesen, das Gerät habe an diese Adresse geliefert werden können. Das Risiko sei angesichts des Kaufpreises abschätzbar gewesen. Eine besondere Unvorsichtigkeit der Verkäuferin liege nicht vor. Wer am Geschäftsverkehr teilnehme, dürfe zwar nicht leichtsinnig, müsse auch nicht besonders misstrauisch sein.</w:t>
      </w:r>
    </w:p>
    <w:p>
      <w:r>
        <w:rPr>
          <w:b/>
        </w:rPr>
        <w:t>E. 2.2.4</w:t>
      </w:r>
    </w:p>
    <w:p>
      <w:r>
        <w:t>Der Vorinstanz ist zuzustimmen, dass der Regelfall des Geschäftsalltags nicht aus dem Schutzbereich des Betrugstatbestands ausgeklammert werden darf (vgl. Urteil 6B_497/2014 vom 6. März 2015 E. 3.4.2). Entgegen ihren Erwägungen handelt es sich bei der vom Beschwerdeführer getätigten Bestellung allerdings gerade nicht um einen Regelfall des Geschäftsalltags. Wenn eine Privatperson einen leistungsstarken Drucker der Mittelklasse für rund Fr. 2'200.- bestellt, kann nicht mehr von einem Alltagsgeschäft gesprochen werden. Im Jahr 2009 betrug das mittlere verfügbare Einkommen der Privathaushalte in der Schweiz Fr. 6'650.- pro Monat (vgl. Medienmitteilung des Bundesamtes für Statistik vom 15. November 2011). Der Preis des dem Beschwerdeführer gelieferten Druckers belief sich demnach auf rund einen Drittel des damals pro Monat im Mittel verfügbaren Einkommens eines Privathaushaltes. Dass der Kauf eines solchen Druckers durch eine Privatperson nicht alltäglich ist, ergibt sich auch aus den Aussagen des Vertreters der Verkäuferin im vorinstanzlichen Verfahren, wonach er sich noch gedacht habe, ein Privater benötige nicht unbedingt ein solch leistungsstarkes Gerät. BGE 142 IV 153 S. 157 Gemäss den vorinstanzlichen Feststellungen unterhielt der Beschwerdeführer vor dem fraglichen Geschäft keine Geschäftsbeziehung zu der Verkäuferin und lag somit kein Vertrauensverhältnis irgendwelcher Art vor. Die Lieferung auf Rechnung bei über das Internet bestellter Ware ist generell eher unüblich, jedenfalls bei Bestellungen von Produkten mit einem - wie vorliegend - höheren Warenwert. Üblich ist die Bezahlung der Ware per Kreditkarte oder Vorauskasse, ehe diese versandt wird. Indem die Verkäuferin den für eine Privatperson unüblich leistungsstarken und entsprechend teuren Drucker auf Rechnung an eine ihr unbekannte Privatperson lieferte, ging sie bewusst ein gewisses Risiko ein. Zusätzlich tätigte sie keinerlei Abklärungen hinsichtlich der Bonität des Beschwerdeführers. Es wäre der Verkäuferin indes ohne erheblichen zusätzlichen Aufwand möglich gewesen, das Gerät erst nach gesicherter Bezahlung zu versenden oderdie Bonität des Beschwerdeführers zumindest rudimentär zu prüfen. Eine entsprechende Prüfung hätte gezeigt, dass der Beschwerdeführer angesichts seiner finanziellen Verhältnisse zur Erfüllung des Kaufvertrags offensichtlich nicht fähig war und somit auch nicht ernsthaft leistungswillig sein konnte (vgl. BGE 118 IV 359 E. 2 S. 361mit Hinweisen). Dieser zusätzliche Aufwand kann angesichts der konkreten Umstände nicht als unverhältnismässig oder unzumutbar bezeichnet werden. Die Verkäuferin hat sich gegenüber dem Beschwerdeführer, der sich keiner besonderen Machenschaften bediente, auch nicht in einer untergeordneten Stellung befunden (vgl. BGE 125 IV 124 E. 3b S. 128). Das Verhalten der Verkäuferin muss deshalb unter Berücksichtigung der Gegebenheiten als leichtfertig eingestuftwerden. Von einer arglistigen Täuschung durch den Beschwerdeführer kann nicht gesprochen werden (vgl. Urteil 6B_663/2011 vom 2. Februar 2012 E. 2.3.3 mit Hinweis auf BGE 118 IV 359 E. 2). Die Missachtung grundlegendster Vorsichtsmassnahmen durch die Verkäuferin lässt dessen Verhalten vorliegend ausnahmsweise in den Hintergrund rücken (vgl. BGE 135 IV 76 E. 5.2 S. 81 mit Hinweisen).</w:t>
      </w:r>
    </w:p>
    <w:p>
      <w:r>
        <w:rPr>
          <w:b/>
        </w:rPr>
        <w:t>E. 2.3</w:t>
      </w:r>
    </w:p>
    <w:p>
      <w:r>
        <w:t>Die vorinstanzliche Verurteilung wegen Betrugs verletzt Bundesrecht, da keine arglistige Täuschung vorliegt. Bei diesem Ausgang des Verfahrens ist die Rüge des Beschwerdeführers, es fehle zusätzlich an einem Schaden, da er den Kaufpreis unter dem Druck des Betreibungsverfahrens schliesslich bezahlt habe, nicht mehr zu behandeln.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